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C07" w:rsidRDefault="00B52C07">
      <w:pPr>
        <w:rPr>
          <w:rFonts w:ascii="Arial" w:hAnsi="Arial"/>
          <w:b/>
          <w:bCs/>
          <w:rtl/>
        </w:rPr>
      </w:pPr>
      <w:bookmarkStart w:id="0" w:name="_GoBack"/>
      <w:bookmarkEnd w:id="0"/>
    </w:p>
    <w:p w:rsidR="000C5F36" w:rsidRDefault="000C5F36" w:rsidP="000C5F36">
      <w:pPr>
        <w:jc w:val="center"/>
        <w:rPr>
          <w:b/>
          <w:bCs/>
          <w:rtl/>
        </w:rPr>
      </w:pPr>
      <w:r>
        <w:rPr>
          <w:rFonts w:hint="cs"/>
          <w:b/>
          <w:bCs/>
          <w:rtl/>
        </w:rPr>
        <w:t>דברי הסבר לכללי ההגבלים העסקיים (פטור סוג לכבילות נלוות למיזוגים) (הוראת שעה) (תיקון), התשע"ט-2018</w:t>
      </w:r>
    </w:p>
    <w:p w:rsidR="000C5F36" w:rsidRDefault="000C5F36" w:rsidP="000C5F36">
      <w:pPr>
        <w:rPr>
          <w:b/>
          <w:bCs/>
          <w:rtl/>
        </w:rPr>
      </w:pPr>
    </w:p>
    <w:p w:rsidR="000C5F36" w:rsidRDefault="000C5F36" w:rsidP="000C5F36">
      <w:pPr>
        <w:spacing w:before="100" w:beforeAutospacing="1" w:after="100" w:afterAutospacing="1"/>
        <w:rPr>
          <w:rtl/>
        </w:rPr>
      </w:pPr>
      <w:r>
        <w:rPr>
          <w:rFonts w:hint="cs"/>
          <w:b/>
          <w:bCs/>
          <w:rtl/>
        </w:rPr>
        <w:t>כללי</w:t>
      </w:r>
      <w:r>
        <w:rPr>
          <w:rFonts w:hint="cs"/>
          <w:b/>
          <w:bCs/>
          <w:rtl/>
        </w:rPr>
        <w:tab/>
      </w:r>
    </w:p>
    <w:p w:rsidR="000C5F36" w:rsidRDefault="000C5F36" w:rsidP="000C5F36">
      <w:pPr>
        <w:spacing w:before="100" w:beforeAutospacing="1" w:after="100" w:afterAutospacing="1"/>
        <w:rPr>
          <w:rFonts w:ascii="Times New Roman" w:hAnsi="Times New Roman" w:cs="Times New Roman"/>
          <w:rtl/>
        </w:rPr>
      </w:pPr>
      <w:r>
        <w:rPr>
          <w:rFonts w:hint="cs"/>
          <w:rtl/>
        </w:rPr>
        <w:t>כללי ההגבלים העסקיים (פטור סוג לכבילות נלוות למיזוגים) (הוראת שעה) (תיקון), התשע"ט-2018 (להלן: "</w:t>
      </w:r>
      <w:r>
        <w:rPr>
          <w:rFonts w:hint="cs"/>
          <w:b/>
          <w:bCs/>
          <w:rtl/>
        </w:rPr>
        <w:t>הכללים המתקנים</w:t>
      </w:r>
      <w:r>
        <w:rPr>
          <w:rFonts w:hint="cs"/>
          <w:rtl/>
        </w:rPr>
        <w:t>") מטמיעים מספר תיקונים בכללי ההגבלים העסקיים (פטור סוג לכבילות נלוות למיזוגים), תשס"ט-2009 (להלן: "</w:t>
      </w:r>
      <w:r w:rsidRPr="00BF317E">
        <w:rPr>
          <w:rFonts w:hint="cs"/>
          <w:b/>
          <w:bCs/>
          <w:rtl/>
        </w:rPr>
        <w:t>פטור הסוג הקיים</w:t>
      </w:r>
      <w:r w:rsidRPr="008F7D51">
        <w:rPr>
          <w:rFonts w:hint="cs"/>
          <w:rtl/>
        </w:rPr>
        <w:t>")</w:t>
      </w:r>
      <w:r>
        <w:rPr>
          <w:rFonts w:hint="cs"/>
          <w:rtl/>
        </w:rPr>
        <w:t xml:space="preserve">. </w:t>
      </w:r>
      <w:r>
        <w:rPr>
          <w:rFonts w:ascii="Arial" w:hAnsi="Arial" w:hint="cs"/>
          <w:sz w:val="22"/>
          <w:rtl/>
        </w:rPr>
        <w:t xml:space="preserve">עיקר התיקון הוא חלק מהמגמה הקיימת של מעבר לבחינה מהותית בפטורי הסוג, לפיה הסדרים כובלים מהסוג בו עוסק פטור הסוג יהיו פטורים מהצורך לאשר את ההסדר בפני בית הדין להגבלים עסקיים ככל </w:t>
      </w:r>
      <w:r w:rsidRPr="00726E1A">
        <w:rPr>
          <w:rFonts w:ascii="Arial" w:hAnsi="Arial"/>
          <w:sz w:val="22"/>
          <w:rtl/>
        </w:rPr>
        <w:t>שהם אינם מעלים חשש לפגיעה של ממש בתחרות בשוק וככל שעיקרו של ההסדר אינו בהפחתת התחרות</w:t>
      </w:r>
      <w:r>
        <w:rPr>
          <w:rFonts w:ascii="Arial" w:hAnsi="Arial" w:hint="cs"/>
          <w:sz w:val="22"/>
          <w:rtl/>
        </w:rPr>
        <w:t>. פטור הסוג הקיים פוטר הסדרים העומדים בכללים הנוגעים למשך ההסדר, לזהות המתחייבים ולמאפייני ההסדר. בהתאם לתיקון יוכלו ליהנות מתחולתו של פטור הסוג גם הסדרים שמהותית אינם פוגעים בתחרות ושנועדו למטרה לגיטימית.</w:t>
      </w:r>
      <w:r>
        <w:rPr>
          <w:rFonts w:hint="cs"/>
          <w:rtl/>
        </w:rPr>
        <w:t xml:space="preserve"> להלן יובא הסבר לתיקון.</w:t>
      </w:r>
    </w:p>
    <w:p w:rsidR="000C5F36" w:rsidRDefault="000C5F36" w:rsidP="000C5F36">
      <w:pPr>
        <w:spacing w:before="100" w:beforeAutospacing="1" w:after="100" w:afterAutospacing="1"/>
        <w:rPr>
          <w:b/>
          <w:bCs/>
          <w:rtl/>
        </w:rPr>
      </w:pPr>
    </w:p>
    <w:p w:rsidR="000C5F36" w:rsidRDefault="000C5F36" w:rsidP="000C5F36">
      <w:pPr>
        <w:spacing w:before="100" w:beforeAutospacing="1" w:after="100" w:afterAutospacing="1"/>
        <w:rPr>
          <w:rFonts w:ascii="Times New Roman" w:hAnsi="Times New Roman"/>
          <w:rtl/>
        </w:rPr>
      </w:pPr>
      <w:r w:rsidRPr="00F53467">
        <w:rPr>
          <w:rFonts w:hint="cs"/>
          <w:b/>
          <w:bCs/>
          <w:rtl/>
        </w:rPr>
        <w:t>תיקון סעיף 3</w:t>
      </w:r>
      <w:r>
        <w:rPr>
          <w:rFonts w:ascii="Times New Roman" w:hAnsi="Times New Roman" w:cs="Times New Roman" w:hint="cs"/>
          <w:b/>
          <w:bCs/>
          <w:rtl/>
        </w:rPr>
        <w:t xml:space="preserve"> </w:t>
      </w:r>
      <w:r>
        <w:rPr>
          <w:rFonts w:ascii="Times New Roman" w:hAnsi="Times New Roman" w:hint="cs"/>
          <w:b/>
          <w:bCs/>
          <w:rtl/>
        </w:rPr>
        <w:t xml:space="preserve">ותיקון סעיף 4 </w:t>
      </w:r>
      <w:r w:rsidR="00AD1382">
        <w:rPr>
          <w:rFonts w:ascii="Times New Roman" w:hAnsi="Times New Roman" w:hint="cs"/>
          <w:rtl/>
        </w:rPr>
        <w:t xml:space="preserve">- </w:t>
      </w:r>
      <w:r>
        <w:rPr>
          <w:rFonts w:ascii="Times New Roman" w:hAnsi="Times New Roman" w:hint="cs"/>
          <w:rtl/>
        </w:rPr>
        <w:t xml:space="preserve">עובר לתיקון, פטור הסוג הקיים פטר כבילות נלוות למיזוגים רק אם אלו עמדו במבחנים הטכניים הקבועים בפטור הסוג שכאמור נוגעים למשך ההסדר ולמאפייניו. כעת, יוכלו כבילות הנלוות למיזוג להיות פטורות </w:t>
      </w:r>
      <w:r>
        <w:rPr>
          <w:rFonts w:ascii="Times New Roman" w:hAnsi="Times New Roman" w:hint="cs"/>
          <w:rtl/>
        </w:rPr>
        <w:lastRenderedPageBreak/>
        <w:t xml:space="preserve">מאישור בית הדין להגבלים עסקיים גם אם מהותית אין בהן כדי לפגוע בתחרות ועיקרן אינו בהפחתת התחרות. על כן, יש למחוק את התיבה "רק" בסעיף 3 המתייחסת לתנאים לתחולת הפטור על כבילת אי תחרות ואת התיבה "רק" בסעיף 4 המתייחסת לתנאים לתחולת הפטור על כבילה מסוג הבטחת אספקה.  </w:t>
      </w:r>
    </w:p>
    <w:p w:rsidR="000C5F36" w:rsidRPr="00BF317E" w:rsidRDefault="000C5F36" w:rsidP="000C5F36">
      <w:pPr>
        <w:spacing w:before="100" w:beforeAutospacing="1" w:after="100" w:afterAutospacing="1"/>
        <w:rPr>
          <w:rFonts w:ascii="Times New Roman" w:hAnsi="Times New Roman"/>
          <w:rtl/>
        </w:rPr>
      </w:pPr>
    </w:p>
    <w:p w:rsidR="000C5F36" w:rsidRPr="00157D79" w:rsidRDefault="000C5F36" w:rsidP="000C5F36">
      <w:pPr>
        <w:spacing w:before="100" w:beforeAutospacing="1" w:after="100" w:afterAutospacing="1"/>
        <w:rPr>
          <w:rFonts w:ascii="Arial" w:hAnsi="Arial"/>
          <w:sz w:val="22"/>
          <w:rtl/>
        </w:rPr>
      </w:pPr>
      <w:r>
        <w:rPr>
          <w:rFonts w:ascii="Arial" w:hAnsi="Arial" w:hint="cs"/>
          <w:b/>
          <w:bCs/>
          <w:sz w:val="22"/>
          <w:rtl/>
        </w:rPr>
        <w:t xml:space="preserve">הוספת </w:t>
      </w:r>
      <w:r w:rsidRPr="00670D97">
        <w:rPr>
          <w:rFonts w:ascii="Arial" w:hAnsi="Arial" w:hint="cs"/>
          <w:b/>
          <w:bCs/>
          <w:sz w:val="22"/>
          <w:rtl/>
        </w:rPr>
        <w:t xml:space="preserve">סעיף </w:t>
      </w:r>
      <w:r>
        <w:rPr>
          <w:rFonts w:ascii="Arial" w:hAnsi="Arial" w:hint="cs"/>
          <w:b/>
          <w:bCs/>
          <w:sz w:val="22"/>
          <w:rtl/>
        </w:rPr>
        <w:t>4א</w:t>
      </w:r>
      <w:r w:rsidR="00AD1382">
        <w:rPr>
          <w:rFonts w:ascii="Arial" w:hAnsi="Arial" w:hint="cs"/>
          <w:sz w:val="22"/>
          <w:rtl/>
        </w:rPr>
        <w:t xml:space="preserve"> </w:t>
      </w:r>
      <w:r>
        <w:rPr>
          <w:rFonts w:ascii="Arial" w:hAnsi="Arial"/>
          <w:sz w:val="22"/>
          <w:rtl/>
        </w:rPr>
        <w:t>–</w:t>
      </w:r>
      <w:r>
        <w:rPr>
          <w:rFonts w:ascii="Arial" w:hAnsi="Arial" w:hint="cs"/>
          <w:sz w:val="22"/>
          <w:rtl/>
        </w:rPr>
        <w:t xml:space="preserve"> הסעיף קובע את התנאים לבחינה המהותית. על פי התיקון, </w:t>
      </w:r>
      <w:r w:rsidRPr="00157D79">
        <w:rPr>
          <w:rFonts w:ascii="Arial" w:hAnsi="Arial" w:hint="cs"/>
          <w:sz w:val="22"/>
          <w:rtl/>
        </w:rPr>
        <w:t xml:space="preserve">בנוסף לפטורים בסעיפים 3 ו-4 לפטור הסוג, כבילה </w:t>
      </w:r>
      <w:r w:rsidRPr="00670D97">
        <w:rPr>
          <w:rFonts w:ascii="Times New Roman" w:hAnsi="Times New Roman" w:hint="cs"/>
          <w:rtl/>
        </w:rPr>
        <w:t>נלווית</w:t>
      </w:r>
      <w:r w:rsidRPr="00157D79">
        <w:rPr>
          <w:rFonts w:ascii="Arial" w:hAnsi="Arial" w:hint="cs"/>
          <w:sz w:val="22"/>
          <w:rtl/>
        </w:rPr>
        <w:t xml:space="preserve"> למיזוג תהיה פטורה מן החובה לקבל אישור של בית הדין להגבלים עסקיים, אם התקיימו לגביה </w:t>
      </w:r>
      <w:r>
        <w:rPr>
          <w:rFonts w:ascii="Arial" w:hAnsi="Arial" w:hint="cs"/>
          <w:sz w:val="22"/>
          <w:rtl/>
        </w:rPr>
        <w:t xml:space="preserve">שני </w:t>
      </w:r>
      <w:r w:rsidRPr="00157D79">
        <w:rPr>
          <w:rFonts w:ascii="Arial" w:hAnsi="Arial" w:hint="cs"/>
          <w:sz w:val="22"/>
          <w:rtl/>
        </w:rPr>
        <w:t xml:space="preserve">התנאים </w:t>
      </w:r>
      <w:r>
        <w:rPr>
          <w:rFonts w:ascii="Arial" w:hAnsi="Arial" w:hint="cs"/>
          <w:sz w:val="22"/>
          <w:rtl/>
        </w:rPr>
        <w:t xml:space="preserve">המצטברים </w:t>
      </w:r>
      <w:r w:rsidRPr="00157D79">
        <w:rPr>
          <w:rFonts w:ascii="Arial" w:hAnsi="Arial" w:hint="cs"/>
          <w:sz w:val="22"/>
          <w:rtl/>
        </w:rPr>
        <w:t>שלהלן: (1) הכבילה אינה</w:t>
      </w:r>
      <w:r w:rsidRPr="00157D79">
        <w:rPr>
          <w:rFonts w:ascii="Arial" w:hAnsi="Arial"/>
          <w:sz w:val="22"/>
          <w:rtl/>
        </w:rPr>
        <w:t xml:space="preserve"> מגביל</w:t>
      </w:r>
      <w:r w:rsidRPr="00157D79">
        <w:rPr>
          <w:rFonts w:ascii="Arial" w:hAnsi="Arial" w:hint="cs"/>
          <w:sz w:val="22"/>
          <w:rtl/>
        </w:rPr>
        <w:t>ה</w:t>
      </w:r>
      <w:r w:rsidRPr="00157D79">
        <w:rPr>
          <w:rFonts w:ascii="Arial" w:hAnsi="Arial"/>
          <w:sz w:val="22"/>
          <w:rtl/>
        </w:rPr>
        <w:t xml:space="preserve"> את התחרות בחלק ניכר של שוק המושפע </w:t>
      </w:r>
      <w:r w:rsidRPr="00157D79">
        <w:rPr>
          <w:rFonts w:ascii="Arial" w:hAnsi="Arial" w:hint="cs"/>
          <w:sz w:val="22"/>
          <w:rtl/>
        </w:rPr>
        <w:t>ממנה</w:t>
      </w:r>
      <w:r w:rsidRPr="00157D79">
        <w:rPr>
          <w:rFonts w:ascii="Arial" w:hAnsi="Arial"/>
          <w:sz w:val="22"/>
          <w:rtl/>
        </w:rPr>
        <w:t>, או שה</w:t>
      </w:r>
      <w:r w:rsidRPr="00157D79">
        <w:rPr>
          <w:rFonts w:ascii="Arial" w:hAnsi="Arial" w:hint="cs"/>
          <w:sz w:val="22"/>
          <w:rtl/>
        </w:rPr>
        <w:t>יא</w:t>
      </w:r>
      <w:r w:rsidRPr="00157D79">
        <w:rPr>
          <w:rFonts w:ascii="Arial" w:hAnsi="Arial"/>
          <w:sz w:val="22"/>
          <w:rtl/>
        </w:rPr>
        <w:t xml:space="preserve"> עלול</w:t>
      </w:r>
      <w:r w:rsidRPr="00157D79">
        <w:rPr>
          <w:rFonts w:ascii="Arial" w:hAnsi="Arial" w:hint="cs"/>
          <w:sz w:val="22"/>
          <w:rtl/>
        </w:rPr>
        <w:t>ה</w:t>
      </w:r>
      <w:r w:rsidRPr="00157D79">
        <w:rPr>
          <w:rFonts w:ascii="Arial" w:hAnsi="Arial"/>
          <w:sz w:val="22"/>
          <w:rtl/>
        </w:rPr>
        <w:t xml:space="preserve"> להגביל את התחרות בחלק ניכר משוק כאמור, אך אין בה</w:t>
      </w:r>
      <w:r w:rsidRPr="00157D79">
        <w:rPr>
          <w:rFonts w:ascii="Arial" w:hAnsi="Arial" w:hint="cs"/>
          <w:sz w:val="22"/>
          <w:rtl/>
        </w:rPr>
        <w:t xml:space="preserve"> </w:t>
      </w:r>
      <w:r w:rsidRPr="00157D79">
        <w:rPr>
          <w:rFonts w:ascii="Arial" w:hAnsi="Arial"/>
          <w:sz w:val="22"/>
          <w:rtl/>
        </w:rPr>
        <w:t>כדי לפגוע פגיעה משמעותית בתחרות בשוק כאמור</w:t>
      </w:r>
      <w:r w:rsidRPr="00157D79">
        <w:rPr>
          <w:rFonts w:ascii="Arial" w:hAnsi="Arial" w:hint="cs"/>
          <w:sz w:val="22"/>
          <w:rtl/>
        </w:rPr>
        <w:t xml:space="preserve">; (2) עיקרו של המיזוג אינו </w:t>
      </w:r>
      <w:r w:rsidRPr="00157D79">
        <w:rPr>
          <w:rFonts w:ascii="Arial" w:hAnsi="Arial"/>
          <w:sz w:val="22"/>
          <w:rtl/>
        </w:rPr>
        <w:t>בהפחתת התחרות או במניעתה</w:t>
      </w:r>
      <w:r w:rsidRPr="00157D79">
        <w:rPr>
          <w:rFonts w:ascii="Arial" w:hAnsi="Arial" w:hint="cs"/>
          <w:sz w:val="22"/>
          <w:rtl/>
        </w:rPr>
        <w:t xml:space="preserve">. </w:t>
      </w:r>
    </w:p>
    <w:p w:rsidR="000C5F36" w:rsidRPr="00157D79" w:rsidRDefault="000C5F36" w:rsidP="000C5F36">
      <w:pPr>
        <w:spacing w:before="100" w:beforeAutospacing="1" w:after="100" w:afterAutospacing="1"/>
        <w:rPr>
          <w:rFonts w:ascii="Arial" w:hAnsi="Arial"/>
          <w:sz w:val="22"/>
          <w:rtl/>
        </w:rPr>
      </w:pPr>
      <w:r w:rsidRPr="00157D79">
        <w:rPr>
          <w:rFonts w:ascii="Arial" w:hAnsi="Arial" w:hint="cs"/>
          <w:sz w:val="22"/>
          <w:rtl/>
        </w:rPr>
        <w:t>עניינו של התנאי השני בדרישה כי הכבילה הנלווית תהיה קשורה ונדרשת לעסקת מיזוג לגיטימית</w:t>
      </w:r>
      <w:r>
        <w:rPr>
          <w:rFonts w:ascii="Arial" w:hAnsi="Arial" w:hint="cs"/>
          <w:sz w:val="22"/>
          <w:rtl/>
        </w:rPr>
        <w:t>. ביחס למיזוג, אשר הוגש ואושר על ידי הממונה על הגבלים עסקיים</w:t>
      </w:r>
      <w:r w:rsidRPr="00157D79">
        <w:rPr>
          <w:rFonts w:ascii="Arial" w:hAnsi="Arial" w:hint="cs"/>
          <w:sz w:val="22"/>
          <w:rtl/>
        </w:rPr>
        <w:t xml:space="preserve">, </w:t>
      </w:r>
      <w:r>
        <w:rPr>
          <w:rFonts w:ascii="Arial" w:hAnsi="Arial" w:hint="cs"/>
          <w:sz w:val="22"/>
          <w:rtl/>
        </w:rPr>
        <w:t xml:space="preserve">ברי כי עיקרו של המיזוג אינו בהפחתת התחרות ומדובר בעסקת מיזוג לגיטימית, שאם לא כן הממונה </w:t>
      </w:r>
      <w:proofErr w:type="spellStart"/>
      <w:r>
        <w:rPr>
          <w:rFonts w:ascii="Arial" w:hAnsi="Arial" w:hint="cs"/>
          <w:sz w:val="22"/>
          <w:rtl/>
        </w:rPr>
        <w:t>היתה</w:t>
      </w:r>
      <w:proofErr w:type="spellEnd"/>
      <w:r>
        <w:rPr>
          <w:rFonts w:ascii="Arial" w:hAnsi="Arial" w:hint="cs"/>
          <w:sz w:val="22"/>
          <w:rtl/>
        </w:rPr>
        <w:t xml:space="preserve"> מתנגדת למיזוג והמיזוג לא היה יוצא לפועל. </w:t>
      </w:r>
    </w:p>
    <w:p w:rsidR="000C5F36" w:rsidRDefault="000C5F36" w:rsidP="000C5F36">
      <w:pPr>
        <w:spacing w:before="100" w:beforeAutospacing="1" w:after="100" w:afterAutospacing="1"/>
        <w:rPr>
          <w:rFonts w:ascii="Arial" w:hAnsi="Arial"/>
          <w:b/>
          <w:bCs/>
          <w:sz w:val="22"/>
          <w:rtl/>
        </w:rPr>
      </w:pPr>
    </w:p>
    <w:p w:rsidR="000C5F36" w:rsidRDefault="000C5F36" w:rsidP="00217189">
      <w:pPr>
        <w:spacing w:before="100" w:beforeAutospacing="1" w:after="100" w:afterAutospacing="1"/>
        <w:rPr>
          <w:rFonts w:ascii="Arial" w:hAnsi="Arial"/>
          <w:sz w:val="22"/>
          <w:rtl/>
        </w:rPr>
      </w:pPr>
      <w:r w:rsidRPr="00670D97">
        <w:rPr>
          <w:rFonts w:ascii="Arial" w:hAnsi="Arial" w:hint="cs"/>
          <w:b/>
          <w:bCs/>
          <w:sz w:val="22"/>
          <w:rtl/>
        </w:rPr>
        <w:t>תיקון סעיף 5</w:t>
      </w:r>
      <w:r w:rsidR="00217189">
        <w:rPr>
          <w:rFonts w:ascii="Arial" w:hAnsi="Arial" w:hint="cs"/>
          <w:b/>
          <w:bCs/>
          <w:sz w:val="22"/>
          <w:rtl/>
        </w:rPr>
        <w:t xml:space="preserve"> -</w:t>
      </w:r>
      <w:r w:rsidR="00217189">
        <w:rPr>
          <w:rFonts w:ascii="Arial" w:hAnsi="Arial" w:hint="cs"/>
          <w:sz w:val="22"/>
          <w:rtl/>
        </w:rPr>
        <w:t xml:space="preserve"> </w:t>
      </w:r>
      <w:r>
        <w:rPr>
          <w:rFonts w:ascii="Arial" w:hAnsi="Arial" w:hint="cs"/>
          <w:sz w:val="22"/>
          <w:rtl/>
        </w:rPr>
        <w:t>סעיף 5 לכללים המתקנים יתוקן</w:t>
      </w:r>
      <w:r w:rsidRPr="00670D97">
        <w:rPr>
          <w:rFonts w:ascii="Arial" w:hAnsi="Arial" w:hint="cs"/>
          <w:sz w:val="22"/>
          <w:rtl/>
        </w:rPr>
        <w:t xml:space="preserve"> </w:t>
      </w:r>
      <w:r w:rsidRPr="00157D79">
        <w:rPr>
          <w:rFonts w:ascii="Arial" w:hAnsi="Arial" w:hint="cs"/>
          <w:sz w:val="22"/>
          <w:rtl/>
        </w:rPr>
        <w:t>כך שתוקפ</w:t>
      </w:r>
      <w:r>
        <w:rPr>
          <w:rFonts w:ascii="Arial" w:hAnsi="Arial" w:hint="cs"/>
          <w:sz w:val="22"/>
          <w:rtl/>
        </w:rPr>
        <w:t>ם</w:t>
      </w:r>
      <w:r w:rsidRPr="00157D79">
        <w:rPr>
          <w:rFonts w:ascii="Arial" w:hAnsi="Arial" w:hint="cs"/>
          <w:sz w:val="22"/>
          <w:rtl/>
        </w:rPr>
        <w:t xml:space="preserve"> אשר צפוי לפוג בשנת 201</w:t>
      </w:r>
      <w:r>
        <w:rPr>
          <w:rFonts w:ascii="Arial" w:hAnsi="Arial" w:hint="cs"/>
          <w:sz w:val="22"/>
          <w:rtl/>
        </w:rPr>
        <w:t>9</w:t>
      </w:r>
      <w:r w:rsidRPr="00157D79">
        <w:rPr>
          <w:rFonts w:ascii="Arial" w:hAnsi="Arial" w:hint="cs"/>
          <w:sz w:val="22"/>
          <w:rtl/>
        </w:rPr>
        <w:t xml:space="preserve">, יוארך </w:t>
      </w:r>
      <w:r>
        <w:rPr>
          <w:rFonts w:ascii="Arial" w:hAnsi="Arial" w:hint="cs"/>
          <w:sz w:val="22"/>
          <w:rtl/>
        </w:rPr>
        <w:t>ל-</w:t>
      </w:r>
      <w:r w:rsidRPr="00157D79">
        <w:rPr>
          <w:rFonts w:ascii="Arial" w:hAnsi="Arial" w:hint="cs"/>
          <w:sz w:val="22"/>
          <w:rtl/>
        </w:rPr>
        <w:t>5</w:t>
      </w:r>
      <w:r>
        <w:rPr>
          <w:rFonts w:ascii="Arial" w:hAnsi="Arial" w:hint="cs"/>
          <w:sz w:val="22"/>
          <w:rtl/>
        </w:rPr>
        <w:t xml:space="preserve"> </w:t>
      </w:r>
      <w:r w:rsidRPr="00157D79">
        <w:rPr>
          <w:rFonts w:ascii="Arial" w:hAnsi="Arial" w:hint="cs"/>
          <w:sz w:val="22"/>
          <w:rtl/>
        </w:rPr>
        <w:t xml:space="preserve">שנים ממועד הפרסום הצפוי של הכללים המתקנים. </w:t>
      </w:r>
    </w:p>
    <w:p w:rsidR="000C5F36" w:rsidRPr="000C5F36" w:rsidRDefault="000C5F36" w:rsidP="000C5F36">
      <w:pPr>
        <w:rPr>
          <w:b/>
          <w:bCs/>
        </w:rPr>
      </w:pPr>
    </w:p>
    <w:sectPr w:rsidR="000C5F36" w:rsidRPr="000C5F36" w:rsidSect="000C5F36">
      <w:headerReference w:type="default" r:id="rId6"/>
      <w:pgSz w:w="11906" w:h="16838"/>
      <w:pgMar w:top="1418" w:right="1418" w:bottom="1418" w:left="1418"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7A8" w:rsidRDefault="007217A8" w:rsidP="000C5F36">
      <w:pPr>
        <w:spacing w:line="240" w:lineRule="auto"/>
      </w:pPr>
      <w:r>
        <w:separator/>
      </w:r>
    </w:p>
  </w:endnote>
  <w:endnote w:type="continuationSeparator" w:id="0">
    <w:p w:rsidR="007217A8" w:rsidRDefault="007217A8" w:rsidP="000C5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7A8" w:rsidRDefault="007217A8" w:rsidP="000C5F36">
      <w:pPr>
        <w:spacing w:line="240" w:lineRule="auto"/>
      </w:pPr>
      <w:r>
        <w:separator/>
      </w:r>
    </w:p>
  </w:footnote>
  <w:footnote w:type="continuationSeparator" w:id="0">
    <w:p w:rsidR="007217A8" w:rsidRDefault="007217A8" w:rsidP="000C5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F36" w:rsidRDefault="000C5F36">
    <w:pPr>
      <w:pStyle w:val="Header"/>
    </w:pPr>
    <w:r>
      <w:rPr>
        <w:rFonts w:cs="Arial"/>
        <w:noProof/>
        <w:rtl/>
      </w:rPr>
      <w:drawing>
        <wp:anchor distT="0" distB="0" distL="114300" distR="114300" simplePos="0" relativeHeight="251659264" behindDoc="0" locked="0" layoutInCell="1" allowOverlap="1" wp14:anchorId="1530543D" wp14:editId="7A1C769B">
          <wp:simplePos x="0" y="0"/>
          <wp:positionH relativeFrom="margin">
            <wp:align>center</wp:align>
          </wp:positionH>
          <wp:positionV relativeFrom="paragraph">
            <wp:posOffset>-372110</wp:posOffset>
          </wp:positionV>
          <wp:extent cx="546735" cy="833933"/>
          <wp:effectExtent l="0" t="0" r="5715" b="4445"/>
          <wp:wrapNone/>
          <wp:docPr id="5" name="תמונה 5"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0769" t="21129" r="29460" b="27492"/>
                  <a:stretch/>
                </pic:blipFill>
                <pic:spPr bwMode="auto">
                  <a:xfrm>
                    <a:off x="0" y="0"/>
                    <a:ext cx="546735" cy="833933"/>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F36"/>
    <w:rsid w:val="000C5F36"/>
    <w:rsid w:val="00217189"/>
    <w:rsid w:val="003B7757"/>
    <w:rsid w:val="00473A80"/>
    <w:rsid w:val="007217A8"/>
    <w:rsid w:val="00750285"/>
    <w:rsid w:val="00A52784"/>
    <w:rsid w:val="00A85695"/>
    <w:rsid w:val="00AD1382"/>
    <w:rsid w:val="00B52C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36119C-F7C5-457A-A25E-CF6245A24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F36"/>
    <w:pPr>
      <w:widowControl w:val="0"/>
      <w:bidi/>
      <w:spacing w:after="0" w:line="360" w:lineRule="auto"/>
      <w:ind w:left="340"/>
      <w:contextualSpacing/>
      <w:jc w:val="both"/>
    </w:pPr>
    <w:rPr>
      <w:rFonts w:ascii="David" w:hAnsi="David" w:cs="Davi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F36"/>
    <w:pPr>
      <w:tabs>
        <w:tab w:val="center" w:pos="4153"/>
        <w:tab w:val="right" w:pos="8306"/>
      </w:tabs>
      <w:spacing w:line="240" w:lineRule="auto"/>
    </w:pPr>
  </w:style>
  <w:style w:type="character" w:customStyle="1" w:styleId="HeaderChar">
    <w:name w:val="Header Char"/>
    <w:basedOn w:val="DefaultParagraphFont"/>
    <w:link w:val="Header"/>
    <w:uiPriority w:val="99"/>
    <w:rsid w:val="000C5F36"/>
  </w:style>
  <w:style w:type="paragraph" w:styleId="Footer">
    <w:name w:val="footer"/>
    <w:basedOn w:val="Normal"/>
    <w:link w:val="FooterChar"/>
    <w:uiPriority w:val="99"/>
    <w:unhideWhenUsed/>
    <w:rsid w:val="000C5F36"/>
    <w:pPr>
      <w:tabs>
        <w:tab w:val="center" w:pos="4153"/>
        <w:tab w:val="right" w:pos="8306"/>
      </w:tabs>
      <w:spacing w:line="240" w:lineRule="auto"/>
    </w:pPr>
  </w:style>
  <w:style w:type="character" w:customStyle="1" w:styleId="FooterChar">
    <w:name w:val="Footer Char"/>
    <w:basedOn w:val="DefaultParagraphFont"/>
    <w:link w:val="Footer"/>
    <w:uiPriority w:val="99"/>
    <w:rsid w:val="000C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1812</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Rashut_domain</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Sapir Globman</dc:creator>
  <cp:keywords/>
  <dc:description/>
  <cp:lastModifiedBy>Melita Shafir</cp:lastModifiedBy>
  <cp:revision>2</cp:revision>
  <dcterms:created xsi:type="dcterms:W3CDTF">2018-11-18T10:19:00Z</dcterms:created>
  <dcterms:modified xsi:type="dcterms:W3CDTF">2018-11-18T10:19:00Z</dcterms:modified>
</cp:coreProperties>
</file>